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left="1780" w:right="300"/>
        <w:spacing w:after="0" w:line="31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Перечень электронно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образовательных ресурсов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рекомендуемых к использованию при организации электронного обучения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260"/>
        <w:spacing w:after="0" w:line="31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Электронные образовательные ресурсы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далее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ЭОР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размещенные на сайте Министерства просвещения Российской Федерации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https://edu.gov.ru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260" w:right="980"/>
        <w:spacing w:after="0" w:line="31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Единая коллекция цифровых образовательных ресурсов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http://school-collection.edu.ru/catalog/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260" w:right="640"/>
        <w:spacing w:after="0" w:line="42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Единое окно доступа к информационным ресурсам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http://window.edu.ru/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Федеральный портал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Российское образование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http://www.edu.ru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Российская электронная школа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https://resh.edu.ru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Яндекс учебники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https://education.yandex.ru/home/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60" w:right="1020"/>
        <w:spacing w:after="0" w:line="44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Открытая система электронного образования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000FF"/>
        </w:rPr>
        <w:t>https://universarium.org/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Портал бесплатного образования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000FF"/>
        </w:rPr>
        <w:t>http://shkola.lv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Просвещение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https://digital.prosv.ru/user/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260" w:right="2800"/>
        <w:spacing w:after="0" w:line="4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Российское законодательство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http://www.roskodeks.ru/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Словари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000FF"/>
        </w:rPr>
        <w:t>https://www.multitran.com/</w:t>
      </w:r>
    </w:p>
    <w:sectPr>
      <w:pgSz w:w="11900" w:h="16838" w:orient="portrait"/>
      <w:cols w:equalWidth="0" w:num="1">
        <w:col w:w="9540"/>
      </w:cols>
      <w:pgMar w:left="1440" w:top="1103" w:right="9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2020-04-15T18:42:46Z</dcterms:created>
  <dcterms:modified xsi:type="dcterms:W3CDTF">2020-04-15T18:42:46Z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